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AE1F10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2A4C4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Објаснува за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биогеохемиски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циклус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2A4C4E" w:rsidP="003E74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Циклус на јаглеродот и улога на фосилните горива *ИКТ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AE1F10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4C4E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важност на јаглеродниот циклус</w:t>
            </w:r>
          </w:p>
          <w:p w:rsidR="00503B73" w:rsidRPr="00E6790B" w:rsidRDefault="00902874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4C4E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важност на фосилните горива за емитувањето на јаглерод диоксид во атмосферата</w:t>
            </w:r>
          </w:p>
          <w:p w:rsidR="00D169FC" w:rsidRPr="00A52022" w:rsidRDefault="002A4C4E" w:rsidP="00AE1F1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за важноста на јаглерод диоксидот за продуцентите (фотосинтеза)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C259B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2A4C4E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 јаглероден циклус</w:t>
            </w:r>
          </w:p>
          <w:p w:rsidR="00503B73" w:rsidRDefault="002A4C4E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Разбира процес на согорување фосилни горива и ослободување на јаглерод диоксид</w:t>
            </w:r>
          </w:p>
          <w:p w:rsidR="002A4C4E" w:rsidRDefault="002A4C4E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 фотосинтеза</w:t>
            </w:r>
          </w:p>
          <w:p w:rsidR="00D169FC" w:rsidRPr="00B142FA" w:rsidRDefault="00D169FC" w:rsidP="00C259B9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C259B9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4C4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јаглероден циклус</w:t>
            </w:r>
          </w:p>
          <w:p w:rsidR="00D169FC" w:rsidRDefault="002A4C4E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Поврзат согорување на фосилни горива со климатски промени</w:t>
            </w:r>
          </w:p>
          <w:p w:rsidR="002A4C4E" w:rsidRPr="00A52022" w:rsidRDefault="002A4C4E" w:rsidP="00C259B9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Напишат формула за фотосинтеза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C259B9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503B73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2A4C4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јаглероден диоксид</w:t>
            </w:r>
          </w:p>
          <w:p w:rsidR="00503B73" w:rsidRDefault="00AE1F10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2A4C4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опасност од согорување на фосилни горива и зголемено емитување на јаглерод диоксид</w:t>
            </w:r>
          </w:p>
          <w:p w:rsidR="00902874" w:rsidRDefault="00902874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Конструираат </w:t>
            </w:r>
            <w:r w:rsidR="002A4C4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формула на </w:t>
            </w:r>
            <w:r w:rsidR="00C259B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фотосинтеза</w:t>
            </w:r>
          </w:p>
          <w:p w:rsidR="00D169FC" w:rsidRPr="00B142FA" w:rsidRDefault="00D169FC" w:rsidP="00C259B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C259B9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AB32F7" w:rsidP="00C259B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2A4C4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поврзаност на согорување на фосилни горива со климатски промени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F22B29" w:rsidRDefault="002A4C4E" w:rsidP="00C259B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Објаснат </w:t>
            </w:r>
            <w:r w:rsidR="003A26AD">
              <w:rPr>
                <w:rFonts w:ascii="Arial" w:hAnsi="Arial" w:cs="Arial"/>
                <w:sz w:val="22"/>
                <w:lang w:val="mk-MK"/>
              </w:rPr>
              <w:t xml:space="preserve">важност на јаглеродот за целиот жив свет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3A26A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3A26AD">
              <w:rPr>
                <w:rFonts w:cs="Arial"/>
                <w:sz w:val="22"/>
                <w:szCs w:val="22"/>
                <w:lang w:val="mk-MK"/>
              </w:rPr>
              <w:t>јаглеродниот диоксид и неговата важност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AB32F7">
              <w:rPr>
                <w:sz w:val="22"/>
                <w:lang w:val="mk-MK"/>
              </w:rPr>
              <w:t xml:space="preserve"> за </w:t>
            </w:r>
            <w:r w:rsidR="003A26AD">
              <w:rPr>
                <w:sz w:val="22"/>
                <w:lang w:val="mk-MK"/>
              </w:rPr>
              <w:t>јаглеродниот диоксид и неговата важност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3A26AD">
              <w:rPr>
                <w:rFonts w:ascii="Arial" w:hAnsi="Arial" w:cs="Arial"/>
                <w:sz w:val="22"/>
                <w:szCs w:val="22"/>
                <w:lang w:val="mk-MK"/>
              </w:rPr>
              <w:t>јаглероден циклус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3A26AD">
              <w:rPr>
                <w:rFonts w:ascii="Arial" w:hAnsi="Arial" w:cs="Arial"/>
                <w:sz w:val="22"/>
                <w:szCs w:val="22"/>
                <w:lang w:val="mk-MK"/>
              </w:rPr>
              <w:t>поврзаност на фосилните горива со климатските промени</w:t>
            </w:r>
          </w:p>
          <w:p w:rsidR="00D169FC" w:rsidRDefault="00503B73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>О</w:t>
            </w:r>
            <w:r w:rsidR="00AB32F7">
              <w:rPr>
                <w:rFonts w:cs="Arial"/>
                <w:sz w:val="22"/>
                <w:szCs w:val="22"/>
                <w:lang w:val="mk-MK"/>
              </w:rPr>
              <w:t xml:space="preserve">бјаснува </w:t>
            </w:r>
            <w:r w:rsidR="003A26AD">
              <w:rPr>
                <w:rFonts w:cs="Arial"/>
                <w:sz w:val="22"/>
                <w:szCs w:val="22"/>
                <w:lang w:val="mk-MK"/>
              </w:rPr>
              <w:t>важност на јаглеродот за живиот свет и јаглеродниот диоксид за продуцентите</w:t>
            </w:r>
          </w:p>
          <w:p w:rsidR="002A4C4E" w:rsidRPr="002A4C4E" w:rsidRDefault="002A4C4E" w:rsidP="00E82278">
            <w:pPr>
              <w:pStyle w:val="NoSpacing"/>
              <w:rPr>
                <w:rFonts w:cs="Arial"/>
                <w:i/>
                <w:sz w:val="22"/>
                <w:szCs w:val="22"/>
                <w:lang w:val="en-US"/>
              </w:rPr>
            </w:pPr>
            <w:r w:rsidRPr="002A4C4E">
              <w:rPr>
                <w:rFonts w:cs="Arial"/>
                <w:i/>
                <w:sz w:val="22"/>
                <w:szCs w:val="22"/>
                <w:lang w:val="mk-MK"/>
              </w:rPr>
              <w:t>Еколошка содржина од тема енергија: Врската помеѓу енергијата и емитувањето на јаглерод диоксид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3A26A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јаглеродниот циклус</w:t>
            </w:r>
          </w:p>
          <w:p w:rsidR="003A26AD" w:rsidRDefault="0090287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3A26AD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разликите во концентрациите на јаглерод диоксид и климата</w:t>
            </w:r>
          </w:p>
          <w:p w:rsidR="00C26CB1" w:rsidRPr="003A26AD" w:rsidRDefault="00C26CB1" w:rsidP="00503B73">
            <w:pPr>
              <w:ind w:left="276" w:hanging="276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  <w:r w:rsidRPr="003A26AD"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  <w:t xml:space="preserve">Гледа видео за </w:t>
            </w:r>
            <w:r w:rsidR="003A26AD" w:rsidRPr="003A26AD"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  <w:t>фосилните горива и глобалното затоплување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C5" w:rsidRDefault="00DD23C5" w:rsidP="00AE4A72">
      <w:r>
        <w:separator/>
      </w:r>
    </w:p>
  </w:endnote>
  <w:endnote w:type="continuationSeparator" w:id="0">
    <w:p w:rsidR="00DD23C5" w:rsidRDefault="00DD23C5" w:rsidP="00A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72" w:rsidRDefault="00AE4A72" w:rsidP="00AE4A72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5C603665" wp14:editId="7213AEFC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C5" w:rsidRDefault="00DD23C5" w:rsidP="00AE4A72">
      <w:r>
        <w:separator/>
      </w:r>
    </w:p>
  </w:footnote>
  <w:footnote w:type="continuationSeparator" w:id="0">
    <w:p w:rsidR="00DD23C5" w:rsidRDefault="00DD23C5" w:rsidP="00A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2A4C4E"/>
    <w:rsid w:val="003A26AD"/>
    <w:rsid w:val="003E743B"/>
    <w:rsid w:val="003E7E1E"/>
    <w:rsid w:val="0041221F"/>
    <w:rsid w:val="00496EAB"/>
    <w:rsid w:val="00503B73"/>
    <w:rsid w:val="00780987"/>
    <w:rsid w:val="007F23F4"/>
    <w:rsid w:val="00902874"/>
    <w:rsid w:val="00916DA9"/>
    <w:rsid w:val="00AB32F7"/>
    <w:rsid w:val="00AE1F10"/>
    <w:rsid w:val="00AE4A72"/>
    <w:rsid w:val="00C259B9"/>
    <w:rsid w:val="00C26CB1"/>
    <w:rsid w:val="00CF7FDB"/>
    <w:rsid w:val="00D169FC"/>
    <w:rsid w:val="00DD23C5"/>
    <w:rsid w:val="00E8227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1A53-FBF8-4B92-B414-005323B4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E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72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E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72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72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18</cp:revision>
  <dcterms:created xsi:type="dcterms:W3CDTF">2020-01-01T16:22:00Z</dcterms:created>
  <dcterms:modified xsi:type="dcterms:W3CDTF">2020-02-25T12:19:00Z</dcterms:modified>
</cp:coreProperties>
</file>